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0F8B" w14:textId="0DF4FA55" w:rsidR="00367442" w:rsidRPr="006F4EAF" w:rsidRDefault="00000000" w:rsidP="006F4EAF">
      <w:pPr>
        <w:pStyle w:val="Heading1"/>
      </w:pPr>
      <w:r w:rsidRPr="00A30C07">
        <w:t xml:space="preserve">Wzmocnienie ochrony przed dyskryminacją i popieranie praw obywatelskich w opiece </w:t>
      </w:r>
      <w:r w:rsidRPr="006F4EAF">
        <w:t>zdrowotnej na mocy art. 1557 Ustawy o przystępnej opiece zdrowotnej: Arkusz informacyjny</w:t>
      </w:r>
    </w:p>
    <w:p w14:paraId="3DD9D526" w14:textId="0F92074C" w:rsidR="00367442" w:rsidRPr="00A30C07" w:rsidRDefault="00000000" w:rsidP="00C841B5">
      <w:pPr>
        <w:spacing w:after="5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 w:rsidRPr="00A30C07">
        <w:rPr>
          <w:rFonts w:ascii="Times New Roman" w:eastAsia="Times New Roman" w:hAnsi="Times New Roman" w:cs="Times New Roman"/>
          <w:color w:val="000000"/>
          <w:sz w:val="24"/>
          <w:szCs w:val="24"/>
          <w:u w:color="FFFFFF"/>
          <w:lang w:val="pl-PL"/>
        </w:rPr>
        <w:t xml:space="preserve"> </w:t>
      </w:r>
      <w:r w:rsidRPr="00A30C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FFFFFF"/>
          <w:lang w:val="pl-PL"/>
        </w:rPr>
        <w:t>Niniejszy arkusz jest zaledwie podsumowaniem informacji – nie stanowi on odrębnej interpretacji artykułu 1557. Aby zapoznać się z dokładną wykładnią w tym zakresie, należy odnieść się do treści ostatecznych zasad.</w:t>
      </w:r>
    </w:p>
    <w:p w14:paraId="7CED3D35" w14:textId="4C725935" w:rsidR="00367442" w:rsidRPr="00A30C07" w:rsidRDefault="00000000" w:rsidP="00C841B5">
      <w:pPr>
        <w:spacing w:after="640" w:line="257" w:lineRule="auto"/>
        <w:ind w:left="-14" w:right="-14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  <w:r w:rsidRPr="00A30C07">
        <w:rPr>
          <w:rFonts w:ascii="Times New Roman" w:eastAsia="Times New Roman" w:hAnsi="Times New Roman" w:cs="Times New Roman"/>
          <w:color w:val="1B1B1B"/>
          <w:sz w:val="24"/>
          <w:szCs w:val="24"/>
          <w:u w:color="FFFFFF"/>
          <w:lang w:val="pl-PL"/>
        </w:rPr>
        <w:t xml:space="preserve">Departament Zdrowia i Opieki Społecznej (Department of Health and Human Services, HHS) wydał ostateczne zasady mające na celu zwiększenie równości i zmniejszenie nierówności w zakresie dostępu do opieki zdrowotnej. </w:t>
      </w:r>
      <w:hyperlink r:id="rId7">
        <w:r w:rsidRPr="00A30C07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Artykuł 1557 Ustawy o przystępnej opiece zdrowotnej (Affordable Care Act, ACA</w:t>
        </w:r>
      </w:hyperlink>
      <w:r w:rsidRPr="00A30C07">
        <w:rPr>
          <w:rStyle w:val="Hyperlink"/>
          <w:rFonts w:ascii="Times New Roman" w:hAnsi="Times New Roman" w:cs="Times New Roman"/>
          <w:sz w:val="24"/>
          <w:szCs w:val="24"/>
          <w:lang w:val="pl-PL"/>
        </w:rPr>
        <w:t>)</w:t>
      </w:r>
      <w:r w:rsidRPr="00A30C07">
        <w:rPr>
          <w:rFonts w:ascii="Times New Roman" w:eastAsia="Times New Roman" w:hAnsi="Times New Roman" w:cs="Times New Roman"/>
          <w:color w:val="1B1B1B"/>
          <w:sz w:val="24"/>
          <w:szCs w:val="24"/>
          <w:u w:color="FFFFFF"/>
          <w:lang w:val="pl-PL"/>
        </w:rPr>
        <w:t xml:space="preserve"> zabrania dyskryminacji ze względu na rasę, kolor skóry, narodowość, płeć, wiek lub niepełnosprawność w jakimkolwiek programie opieki zdrowotnej lub działalności, która otrzymuje pomoc finansową ze strony rządu federalnego, na jakiejkolwiek stanowej giełdzie ubezpieczeń zdrowotnych oraz w programach i działaniach związanych ze służbą zdrowia podejmowanych przez HHS. Artykuł ten stanowi jedno z najpotężniejszych rządowych narzędzi zapewniających dostęp do opieki zdrowotnej na zasadach wolnych od dyskryminacji. Zasady te zapewniają przejrzystość w zakresie interpretacji artykułu 1557 i pomagają wdrożyć środki mające zapewnić wolny od dyskryminacji dostęp do opieki dla wszystkich, włącznie z kobietami, osobami niepełnosprawnymi, osobami LGBTQI+, osobami o ograniczonej znajomości języka angielskiego (LEP), osobami o innym kolorze skóry i wszelkimi innymi osobami, niezależnie od wieku. Jeśli uważa Pan/Pani, że Pan/Pani lub inna osoba padła ofiarą dyskryminacji ze względu na rasę, kolor skóry, narodowość, płeć, wiek lub niepełnosprawność, proszę odwiedzić </w:t>
      </w:r>
      <w:hyperlink r:id="rId8">
        <w:r w:rsidRPr="00A30C07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portal do składania skarg Biura Praw Obywatelskich (Office for Civil Rights, OCR)</w:t>
        </w:r>
        <w:r w:rsidRPr="00A30C0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 w:color="FFFFFF"/>
            <w:lang w:val="pl-PL"/>
          </w:rPr>
          <w:t>,</w:t>
        </w:r>
      </w:hyperlink>
      <w:r w:rsidRPr="00A30C07">
        <w:rPr>
          <w:rFonts w:ascii="Times New Roman" w:eastAsia="Times New Roman" w:hAnsi="Times New Roman" w:cs="Times New Roman"/>
          <w:color w:val="1B1B1B"/>
          <w:sz w:val="24"/>
          <w:szCs w:val="24"/>
          <w:u w:color="FFFFFF"/>
          <w:lang w:val="pl-PL"/>
        </w:rPr>
        <w:t xml:space="preserve"> aby złożyć skargę online.</w:t>
      </w:r>
    </w:p>
    <w:p w14:paraId="4C63711C" w14:textId="0AE23BD8" w:rsidR="00367442" w:rsidRPr="006F4EAF" w:rsidRDefault="00000000" w:rsidP="006F4EAF">
      <w:pPr>
        <w:pStyle w:val="Heading2"/>
      </w:pPr>
      <w:r w:rsidRPr="006F4EAF">
        <w:t>Podsumowanie ostatecznych zasad</w:t>
      </w:r>
    </w:p>
    <w:p w14:paraId="1DF72587" w14:textId="77777777" w:rsidR="00367442" w:rsidRPr="006F4EAF" w:rsidRDefault="00000000" w:rsidP="006F4EAF">
      <w:pPr>
        <w:pStyle w:val="Heading3"/>
      </w:pPr>
      <w:r w:rsidRPr="006F4EAF">
        <w:t>Zasady przywracają ochronę ubezpieczeniową zgodnie z artykułem 1557 (45 CFR 92.2, 92.4 i 92.207).</w:t>
      </w:r>
    </w:p>
    <w:p w14:paraId="2D67642A" w14:textId="77777777" w:rsidR="00367442" w:rsidRPr="00A30C07" w:rsidRDefault="00000000">
      <w:pPr>
        <w:spacing w:after="200" w:line="256" w:lineRule="auto"/>
        <w:ind w:left="-20" w:right="-20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  <w:r w:rsidRPr="00A30C07">
        <w:rPr>
          <w:rFonts w:ascii="Times New Roman" w:eastAsia="Times New Roman" w:hAnsi="Times New Roman" w:cs="Times New Roman"/>
          <w:color w:val="1B1B1B"/>
          <w:sz w:val="24"/>
          <w:szCs w:val="24"/>
          <w:u w:color="FFFFFF"/>
          <w:lang w:val="pl-PL"/>
        </w:rPr>
        <w:t>Ostateczne zasady przywracają zastosowanie artykułu 1557 do emitentów ubezpieczeń zdrowotnych, którzy otrzymują federalną pomoc finansową oraz zwiększa zakres, w którym artykuł ten jest stosowany. Zdając sobie sprawę z istotnej roli, jaką ubezpieczenie zdrowotne odgrywa w zapewnianiu opieki zdrowotnej, zasady te zapewniają jasne standardy niedyskryminacyjne dla branży.</w:t>
      </w:r>
    </w:p>
    <w:p w14:paraId="727A7AF8" w14:textId="77777777" w:rsidR="00367442" w:rsidRPr="00A30C07" w:rsidRDefault="00000000" w:rsidP="006F4EAF">
      <w:pPr>
        <w:pStyle w:val="Heading3"/>
      </w:pPr>
      <w:r w:rsidRPr="00A30C07">
        <w:t>Zasady przywracają stosowanie artykułu 1557 do wszystkich programów i działań zdrowotnych zarządzanych przez HHS (45 CFR 92.2(a)(2)).</w:t>
      </w:r>
    </w:p>
    <w:p w14:paraId="5FCC6285" w14:textId="77777777" w:rsidR="00367442" w:rsidRPr="00A30C07" w:rsidRDefault="00000000">
      <w:pPr>
        <w:spacing w:after="200" w:line="256" w:lineRule="auto"/>
        <w:ind w:left="-20" w:right="-20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  <w:r w:rsidRPr="00A30C07">
        <w:rPr>
          <w:rFonts w:ascii="Times New Roman" w:eastAsia="Times New Roman" w:hAnsi="Times New Roman" w:cs="Times New Roman"/>
          <w:color w:val="1B1B1B"/>
          <w:sz w:val="24"/>
          <w:szCs w:val="24"/>
          <w:u w:color="FFFFFF"/>
          <w:lang w:val="pl-PL"/>
        </w:rPr>
        <w:lastRenderedPageBreak/>
        <w:t>Zasady obejmują standardami w zakresie zakazu dyskryminacji wszystkie programy i działania w zakresie służby zdrowia podejmowane przez HHS. Zasady z 2020 r. (</w:t>
      </w:r>
      <w:hyperlink r:id="rId9">
        <w:r w:rsidRPr="00A30C07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Reg. 85 Fed. 37160</w:t>
        </w:r>
      </w:hyperlink>
      <w:r w:rsidRPr="00A30C07">
        <w:rPr>
          <w:rFonts w:ascii="Times New Roman" w:eastAsia="Times New Roman" w:hAnsi="Times New Roman" w:cs="Times New Roman"/>
          <w:color w:val="1B1B1B"/>
          <w:sz w:val="24"/>
          <w:szCs w:val="24"/>
          <w:u w:color="FFFFFF"/>
          <w:lang w:val="pl-PL"/>
        </w:rPr>
        <w:t xml:space="preserve"> (19 czerwca 2020 r.)) ograniczyły zakres wymogów ujętych w treści artykułu 1557, które muszą zostać spełnione, by zasady dotyczące zakazu dyskryminacji miały zastosowanie. Departament uważa, że interpretacja artykułu 1557, z której wynika objęcie wszystkich programów opieki zdrowotnej i działań zarządzanych przez HHS, jest najlepszym możliwym sposobem interpretacji ustawy, który chroni największą możliwą ilość osób przed dyskryminacją w szerokim zakresie programów i działań zdrowotnych prowadzonych przez Departament, w tym między innymi programów i działań administrowanych przez Indian Health Service, centra usług związane z programami Medicare i Medicaid oraz Narodowe Instytuty Zdrowia.</w:t>
      </w:r>
    </w:p>
    <w:p w14:paraId="3EEC6DD8" w14:textId="77777777" w:rsidR="00367442" w:rsidRPr="00A30C07" w:rsidRDefault="00000000" w:rsidP="006F4EAF">
      <w:pPr>
        <w:pStyle w:val="Heading3"/>
      </w:pPr>
      <w:r w:rsidRPr="00A30C07">
        <w:t>Zasady chronią pacjentów LGBTQI+ przed dyskryminacją i wyjaśniają postanowienia artykułu 1557 w zakresie zakazu dyskryminacji ze względu na płeć (45 CFR 92.101, 92.206).</w:t>
      </w:r>
    </w:p>
    <w:p w14:paraId="0F3ED608" w14:textId="77777777" w:rsidR="00367442" w:rsidRPr="00A30C07" w:rsidRDefault="00000000">
      <w:pPr>
        <w:spacing w:after="200" w:line="256" w:lineRule="auto"/>
        <w:ind w:left="-20" w:right="-20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  <w:r w:rsidRPr="00A30C07">
        <w:rPr>
          <w:rFonts w:ascii="Times New Roman" w:eastAsia="Times New Roman" w:hAnsi="Times New Roman" w:cs="Times New Roman"/>
          <w:color w:val="1B1B1B"/>
          <w:sz w:val="24"/>
          <w:szCs w:val="24"/>
          <w:u w:color="FFFFFF"/>
          <w:lang w:val="pl-PL"/>
        </w:rPr>
        <w:t xml:space="preserve">Zgodnie z orzeczeniem Sądu Najwyższego Stanów Zjednoczonych w sprawie </w:t>
      </w:r>
      <w:hyperlink r:id="rId10">
        <w:r w:rsidRPr="00A30C07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Bostock przeciwko hrabstwu Clayton</w:t>
        </w:r>
        <w:r w:rsidRPr="00A30C07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pl-PL"/>
          </w:rPr>
          <w:t xml:space="preserve"> – PDF</w:t>
        </w:r>
      </w:hyperlink>
      <w:r w:rsidRPr="00A30C07">
        <w:rPr>
          <w:rFonts w:ascii="Times New Roman" w:eastAsia="Times New Roman" w:hAnsi="Times New Roman" w:cs="Times New Roman"/>
          <w:color w:val="1B1B1B"/>
          <w:sz w:val="24"/>
          <w:szCs w:val="24"/>
          <w:u w:color="FFFFFF"/>
          <w:lang w:val="pl-PL"/>
        </w:rPr>
        <w:t>, ostateczne zasady potwierdzają, że ochrona przed dyskryminacją ze względu na orientację seksualną obejmuje ochronę przed dyskryminacją ze względu na orientację seksualną i tożsamość płciową.</w:t>
      </w:r>
    </w:p>
    <w:p w14:paraId="78A5AD38" w14:textId="77777777" w:rsidR="00367442" w:rsidRPr="00A30C07" w:rsidRDefault="00000000">
      <w:pPr>
        <w:spacing w:after="200" w:line="256" w:lineRule="auto"/>
        <w:ind w:left="-20" w:right="-20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  <w:r w:rsidRPr="00A30C07">
        <w:rPr>
          <w:rFonts w:ascii="Times New Roman" w:eastAsia="Times New Roman" w:hAnsi="Times New Roman" w:cs="Times New Roman"/>
          <w:color w:val="1B1B1B"/>
          <w:sz w:val="24"/>
          <w:szCs w:val="24"/>
          <w:u w:color="FFFFFF"/>
          <w:lang w:val="pl-PL"/>
        </w:rPr>
        <w:t>Ostateczne zasady wyjaśniają również, że dyskryminacja ze względu na płeć obejmuje dyskryminację ze względu na stereotypy płciowe, cechy płciowe, w tym cechy interseksualne oraz ciążę lub powiązane warunki.</w:t>
      </w:r>
    </w:p>
    <w:p w14:paraId="06F34604" w14:textId="6C163D41" w:rsidR="00367442" w:rsidRPr="00A30C07" w:rsidRDefault="00000000" w:rsidP="006F4EAF">
      <w:pPr>
        <w:pStyle w:val="Heading3"/>
      </w:pPr>
      <w:r w:rsidRPr="00A30C07">
        <w:t>Od osób objętych zasadami, w tym świadczeniodawców, wydawców ubezpieczeń i programów zarządzanych przez HHS, wymaga się poinformowania domeny publicznej, że dostępna jest pomoc i obsługa językowa (45 CFR 92.11).</w:t>
      </w:r>
    </w:p>
    <w:p w14:paraId="3DD1C6EB" w14:textId="2D64519A" w:rsidR="00367442" w:rsidRPr="00A30C07" w:rsidRDefault="00000000">
      <w:pPr>
        <w:spacing w:after="200" w:line="256" w:lineRule="auto"/>
        <w:ind w:left="-20" w:right="-20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  <w:r w:rsidRPr="00A30C07">
        <w:rPr>
          <w:rFonts w:ascii="Times New Roman" w:eastAsia="Times New Roman" w:hAnsi="Times New Roman" w:cs="Times New Roman"/>
          <w:color w:val="1B1B1B"/>
          <w:sz w:val="24"/>
          <w:szCs w:val="24"/>
          <w:u w:color="FFFFFF"/>
          <w:lang w:val="pl-PL"/>
        </w:rPr>
        <w:t xml:space="preserve">Ostateczne zasady stanowią, że od beneficjentów federalnej pomocy finansowej, programów i działań zdrowotnych zarządzanych przez HHS oraz stanowych i wspieranych federalnie giełd wymaga się poinformowania domeny publicznej, że w razie potrzeby dostępna jest pomoc i obsługa językowa. Powiadomienie musi być przekazywane w języku angielskim i przynajmniej w 15 najpopularniejszych językach używanych przez osoby z ograniczoną znajomością języka angielskiego (LEP) w określonych stanach. Aby zapewnić skuteczną komunikację, </w:t>
      </w:r>
      <w:r w:rsidRPr="00A30C07">
        <w:rPr>
          <w:rFonts w:ascii="Times New Roman" w:eastAsia="Times New Roman" w:hAnsi="Times New Roman" w:cs="Times New Roman"/>
          <w:color w:val="000000"/>
          <w:sz w:val="24"/>
          <w:szCs w:val="24"/>
          <w:u w:color="FFFFFF"/>
          <w:lang w:val="pl-PL"/>
        </w:rPr>
        <w:t xml:space="preserve">powiadomienia należy przekazywać osobom niepełnosprawnym tak samo skutecznie, jak osobom bez niepełnosprawności. </w:t>
      </w:r>
      <w:r w:rsidRPr="00A30C07">
        <w:rPr>
          <w:rFonts w:ascii="Times New Roman" w:eastAsia="Times New Roman" w:hAnsi="Times New Roman" w:cs="Times New Roman"/>
          <w:color w:val="1B1B1B"/>
          <w:sz w:val="24"/>
          <w:szCs w:val="24"/>
          <w:u w:color="FFFFFF"/>
          <w:lang w:val="pl-PL"/>
        </w:rPr>
        <w:t>Podmioty objęte zasadami są zobowiązane do przekazywania tych informacji w widocznych miejscach, zarówno fizycznych, jak i na ich stronach internetowych, udostępniania ich na żądanie i dołączania do nich określonej listy komunikatów.</w:t>
      </w:r>
    </w:p>
    <w:p w14:paraId="33C8F971" w14:textId="7C9B426E" w:rsidR="00367442" w:rsidRPr="00A30C07" w:rsidRDefault="00000000" w:rsidP="006F4EAF">
      <w:pPr>
        <w:pStyle w:val="Heading3"/>
      </w:pPr>
      <w:r w:rsidRPr="00A30C07">
        <w:t>Od osób objętych zasadami wymaga się podjęcia kroków w celu zidentyfikowania i złagodzenia dyskryminacji wynikającej z podejmowania decyzji dotyczących pacjentów za pomocą narzędzi wspomagających podejmowanie decyzji (45 CFR 92.210).</w:t>
      </w:r>
    </w:p>
    <w:p w14:paraId="2F2BF2B1" w14:textId="6B506CB8" w:rsidR="00367442" w:rsidRPr="00A30C07" w:rsidRDefault="00000000" w:rsidP="00C47C07">
      <w:pPr>
        <w:spacing w:after="640" w:line="257" w:lineRule="auto"/>
        <w:ind w:left="-14" w:right="-1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 w:rsidRPr="00A30C07">
        <w:rPr>
          <w:rFonts w:ascii="Times New Roman" w:eastAsia="Times New Roman" w:hAnsi="Times New Roman" w:cs="Times New Roman"/>
          <w:color w:val="000000"/>
          <w:sz w:val="24"/>
          <w:szCs w:val="24"/>
          <w:u w:color="FFFFFF"/>
          <w:lang w:val="pl-PL"/>
        </w:rPr>
        <w:t xml:space="preserve">Ostateczne zasady stanowią, że beneficjenci federalnej pomocy finansowej, programy i działania zdrowotne zarządzane przez HHS oraz stanowe </w:t>
      </w:r>
      <w:r w:rsidRPr="00A30C07">
        <w:rPr>
          <w:rFonts w:ascii="Times New Roman" w:eastAsia="Times New Roman" w:hAnsi="Times New Roman" w:cs="Times New Roman"/>
          <w:color w:val="1B1B1B"/>
          <w:sz w:val="24"/>
          <w:szCs w:val="24"/>
          <w:u w:color="FFFFFF"/>
          <w:lang w:val="pl-PL"/>
        </w:rPr>
        <w:t>i wspierane federalnie</w:t>
      </w:r>
      <w:r w:rsidRPr="00A30C07">
        <w:rPr>
          <w:rFonts w:ascii="Times New Roman" w:eastAsia="Times New Roman" w:hAnsi="Times New Roman" w:cs="Times New Roman"/>
          <w:color w:val="000000"/>
          <w:sz w:val="24"/>
          <w:szCs w:val="24"/>
          <w:u w:color="FFFFFF"/>
          <w:lang w:val="pl-PL"/>
        </w:rPr>
        <w:t xml:space="preserve"> giełdy nie mogą nikogo dyskryminować ze względu na rasę, kolor skóry, pochodzenie narodowe, płeć, wiek lub </w:t>
      </w:r>
      <w:r w:rsidRPr="00A30C07">
        <w:rPr>
          <w:rFonts w:ascii="Times New Roman" w:eastAsia="Times New Roman" w:hAnsi="Times New Roman" w:cs="Times New Roman"/>
          <w:color w:val="000000"/>
          <w:sz w:val="24"/>
          <w:szCs w:val="24"/>
          <w:u w:color="FFFFFF"/>
          <w:lang w:val="pl-PL"/>
        </w:rPr>
        <w:lastRenderedPageBreak/>
        <w:t>niepełnosprawność poprzez korzystanie z narzędzi wspomagających podejmowanie decyzji dotyczących opieki nad pacjentem, które obejmują zautomatyzowane i nieautomatyczne narzędzia, mechanizmy, metody i technologie zapewniające opiekę nad pacjentem. Postanowienie to nie ma na celu utrudniania korzystania z takich narzędzi. Ma ono za zadanie równoważyć rolę technologii w zmniejszaniu nierówności w zakresie zdrowia i zwiększaniu dostępu do opieki z potrzebą odpowiedzialnego korzystania z tych narzędzi w sposób, który nie prowadzi do dyskryminacji w opiece nad pacjentem. Ostateczne zasady wymagają, aby osoby i podmioty objęte ich zakresem dołożyły uzasadnionych starań w celu zidentyfikowania narzędzi wspomagających podejmowanie decyzji dotyczących opieki nad pacjentem, które biorą pod uwagę czynniki takie jak rasę, kolor skóry, pochodzenie narodowe, płeć, wiek lub niepełnosprawność oraz dołożyły uzasadnionych starań w celu ograniczenia ryzyka dyskryminacji, które może wynikać z korzystania z takich narzędzi.</w:t>
      </w:r>
    </w:p>
    <w:p w14:paraId="440A480B" w14:textId="77777777" w:rsidR="00367442" w:rsidRPr="00A30C07" w:rsidRDefault="00000000" w:rsidP="006F4EAF">
      <w:pPr>
        <w:pStyle w:val="Heading3"/>
      </w:pPr>
      <w:r w:rsidRPr="00A30C07">
        <w:t>Od osób objętych zasadami wymaga się wdrożenia postanowień artykułu 1557 w zakresie szkoleń dla personelu (45 CFR 92.8-92.9).</w:t>
      </w:r>
    </w:p>
    <w:p w14:paraId="597A9C5F" w14:textId="77777777" w:rsidR="00367442" w:rsidRPr="00A30C07" w:rsidRDefault="00000000">
      <w:pPr>
        <w:spacing w:after="200" w:line="256" w:lineRule="auto"/>
        <w:ind w:left="-20" w:right="-20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  <w:r w:rsidRPr="00A30C07">
        <w:rPr>
          <w:rFonts w:ascii="Times New Roman" w:eastAsia="Times New Roman" w:hAnsi="Times New Roman" w:cs="Times New Roman"/>
          <w:color w:val="1B1B1B"/>
          <w:sz w:val="24"/>
          <w:szCs w:val="24"/>
          <w:u w:color="FFFFFF"/>
          <w:lang w:val="pl-PL"/>
        </w:rPr>
        <w:t>Ostateczne zasady wymagają od beneficjentów federalnej pomocy finansowej, programów i działań zdrowotnych administrowanych przez HHS oraz stanowych i wspieranych federalnie giełd wdrożenia zasad i procedur w celu zapewnienia zgodności z postanowieniami zasad. W szczególności podmioty objęte zasadami muszą wdrożyć zasady świadczenia usług pomocy i obsługi językowej dla osób z ograniczoną znajomością języka angielskiego oraz zapewnić skuteczną komunikację i uzasadnione udogodnienia dla osób niepełnosprawnych. Podmioty objęte zakresem zasad są również zobowiązane do przeszkolenia personelu w zakresie treści odnośnych zasad i procedur. Wymogi te pomogą poprawić zgodność z przepisami.</w:t>
      </w:r>
    </w:p>
    <w:p w14:paraId="4FCDC233" w14:textId="77777777" w:rsidR="00367442" w:rsidRPr="00A30C07" w:rsidRDefault="00000000" w:rsidP="006F4EAF">
      <w:pPr>
        <w:pStyle w:val="Heading3"/>
      </w:pPr>
      <w:r w:rsidRPr="00A30C07">
        <w:t>Zasady wyjaśniają, że wymogi dotyczące zakazu dyskryminacji mają zastosowanie do programów opieki zdrowotnej i działań świadczonych za pośrednictwem usług telemedycyny (45 CFR 92.211).</w:t>
      </w:r>
    </w:p>
    <w:p w14:paraId="23A008A1" w14:textId="0767CB4E" w:rsidR="00367442" w:rsidRPr="00A30C07" w:rsidRDefault="00000000">
      <w:pPr>
        <w:spacing w:after="200" w:line="256" w:lineRule="auto"/>
        <w:ind w:left="-20" w:right="-20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  <w:r w:rsidRPr="00A30C07">
        <w:rPr>
          <w:rFonts w:ascii="Times New Roman" w:eastAsia="Times New Roman" w:hAnsi="Times New Roman" w:cs="Times New Roman"/>
          <w:color w:val="1B1B1B"/>
          <w:sz w:val="24"/>
          <w:szCs w:val="24"/>
          <w:u w:color="FFFFFF"/>
          <w:lang w:val="pl-PL"/>
        </w:rPr>
        <w:t>Ostateczne zasady odnoszą się konkretnie do zakazu dyskryminacji w usługach z zakresu telemedycyny. Postanowienie to wyjaśnia, że beneficjenci federalnej pomocy finansowej, programy i działania zdrowotne administrowane przez HHS oraz stanowe i wspierane federalnie giełdy nie mogą dyskryminować obsługiwanych osób w ramach świadczenia programów i działań zdrowotnych, które realizowane są za pomocą usług w zakresie telemedycyny. Oznacza to zapewnienie dostępu do takich usług osobom niepełnosprawnym i zapewnienie znaczącego dostępu do programu osobom z ograniczoną znajomością języka angielskiego.</w:t>
      </w:r>
    </w:p>
    <w:p w14:paraId="4D77C3C2" w14:textId="77777777" w:rsidR="00367442" w:rsidRPr="00A30C07" w:rsidRDefault="00000000" w:rsidP="006F4EAF">
      <w:pPr>
        <w:pStyle w:val="Heading3"/>
      </w:pPr>
      <w:r w:rsidRPr="00A30C07">
        <w:t>Zasady podkreślają poszanowanie federalnych gwarancji dotyczących wolności religijnej i sumienia (45 CFR 92.3 i 92.302).</w:t>
      </w:r>
    </w:p>
    <w:p w14:paraId="069DB6F5" w14:textId="77777777" w:rsidR="00367442" w:rsidRPr="00A30C07" w:rsidRDefault="00000000">
      <w:pPr>
        <w:spacing w:after="200" w:line="256" w:lineRule="auto"/>
        <w:ind w:left="-20" w:right="-20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  <w:r w:rsidRPr="00A30C07">
        <w:rPr>
          <w:rFonts w:ascii="Times New Roman" w:eastAsia="Times New Roman" w:hAnsi="Times New Roman" w:cs="Times New Roman"/>
          <w:color w:val="1B1B1B"/>
          <w:sz w:val="24"/>
          <w:szCs w:val="24"/>
          <w:u w:color="FFFFFF"/>
          <w:lang w:val="pl-PL"/>
        </w:rPr>
        <w:t>Treść ostatecznych zasad stanowi, że ich zastosowanie nie będzie wymagane w przypadku, gdyby takie zastosowanie naruszyłoby federalne mechanizmy ochrony wolności religijnej i sumienia. Na mocy zasad, beneficjent federalnej pomocy finansowej może zwyczajnie polegać na takich mechanizmach ochrony lub uzyskać ich gwarancję ze strony OCR HHS.</w:t>
      </w:r>
    </w:p>
    <w:p w14:paraId="6B80816F" w14:textId="77777777" w:rsidR="00367442" w:rsidRPr="00A30C07" w:rsidRDefault="00000000" w:rsidP="006F4EAF">
      <w:pPr>
        <w:pStyle w:val="Heading3"/>
      </w:pPr>
      <w:r w:rsidRPr="00A30C07">
        <w:lastRenderedPageBreak/>
        <w:t>Powiadomienie dotyczące federalnej pomocy finansowej w ramach Części B Medicare.</w:t>
      </w:r>
    </w:p>
    <w:p w14:paraId="3BF27483" w14:textId="77777777" w:rsidR="00367442" w:rsidRPr="00A30C07" w:rsidRDefault="00000000">
      <w:pPr>
        <w:spacing w:after="200" w:line="256" w:lineRule="auto"/>
        <w:ind w:left="-20" w:right="-20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  <w:r w:rsidRPr="00A30C07">
        <w:rPr>
          <w:rFonts w:ascii="Times New Roman" w:eastAsia="Times New Roman" w:hAnsi="Times New Roman" w:cs="Times New Roman"/>
          <w:color w:val="1B1B1B"/>
          <w:sz w:val="24"/>
          <w:szCs w:val="24"/>
          <w:u w:color="FFFFFF"/>
          <w:lang w:val="pl-PL"/>
        </w:rPr>
        <w:t xml:space="preserve">Zasady te stanowią potwierdzenie interpretacji Departamentu, z której wynika, że płatności dokonane w ramach Części B programu Medicare kwalifikują się jako federalna pomoc finansowa na cele objęcia ubezpieczeniem na mocy federalnych ustaw o prawach obywatelskich, które Departament egzekwuje. Obejmują one </w:t>
      </w:r>
      <w:hyperlink r:id="rId11">
        <w:r w:rsidRPr="00A30C07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tytuł VI ustawy z 1964 r. o prawach obywatelskich</w:t>
        </w:r>
      </w:hyperlink>
      <w:r w:rsidRPr="00A30C07">
        <w:rPr>
          <w:rFonts w:ascii="Times New Roman" w:eastAsia="Times New Roman" w:hAnsi="Times New Roman" w:cs="Times New Roman"/>
          <w:color w:val="1B1B1B"/>
          <w:sz w:val="24"/>
          <w:szCs w:val="24"/>
          <w:u w:color="FFFFFF"/>
          <w:lang w:val="pl-PL"/>
        </w:rPr>
        <w:t xml:space="preserve">, </w:t>
      </w:r>
      <w:hyperlink r:id="rId12">
        <w:r w:rsidRPr="00A30C07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artykuł 504 ustawy o rehabilitacji z 1973</w:t>
        </w:r>
      </w:hyperlink>
      <w:r w:rsidRPr="00A30C07">
        <w:rPr>
          <w:rFonts w:ascii="Times New Roman" w:eastAsia="Times New Roman" w:hAnsi="Times New Roman" w:cs="Times New Roman"/>
          <w:color w:val="1B1B1B"/>
          <w:sz w:val="24"/>
          <w:szCs w:val="24"/>
          <w:u w:color="FFFFFF"/>
          <w:lang w:val="pl-PL"/>
        </w:rPr>
        <w:t xml:space="preserve"> r., </w:t>
      </w:r>
      <w:hyperlink r:id="rId13">
        <w:r w:rsidRPr="00A30C07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tytuł IX poprawek edukacyjnych z 1972</w:t>
        </w:r>
      </w:hyperlink>
      <w:r w:rsidRPr="00A30C07">
        <w:rPr>
          <w:rStyle w:val="Hyperlink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30C07">
        <w:rPr>
          <w:rFonts w:ascii="Times New Roman" w:eastAsia="Times New Roman" w:hAnsi="Times New Roman" w:cs="Times New Roman"/>
          <w:color w:val="1B1B1B"/>
          <w:sz w:val="24"/>
          <w:szCs w:val="24"/>
          <w:u w:color="FFFFFF"/>
          <w:lang w:val="pl-PL"/>
        </w:rPr>
        <w:t xml:space="preserve">r., </w:t>
      </w:r>
      <w:hyperlink r:id="rId14">
        <w:r w:rsidRPr="00A30C07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ustawę o dyskryminacji ze względu na wiek z 1975</w:t>
        </w:r>
      </w:hyperlink>
      <w:r w:rsidRPr="00A30C07">
        <w:rPr>
          <w:rFonts w:ascii="Times New Roman" w:eastAsia="Times New Roman" w:hAnsi="Times New Roman" w:cs="Times New Roman"/>
          <w:color w:val="1B1B1B"/>
          <w:sz w:val="24"/>
          <w:szCs w:val="24"/>
          <w:u w:color="FFFFFF"/>
          <w:lang w:val="pl-PL"/>
        </w:rPr>
        <w:t xml:space="preserve"> r. oraz artykuł 1557 ACA. Fundusze wypłacane w ramach Części B programu Medicare spełniają definicję federalnej pomocy finansowej zgodnie z przepisami prawa, określoną w przepisach dotyczących powyższych ustaw. Departament uważa, że zważywszy na zmiany, które zaszły w prawie i w odniesieniu do programu Medicare, wcześniejsze wyjaśnienia uzasadniające wyłączenie Części B programu Medicare są nieaktualne oraz że zmiana polityki w tym zakresie jest najlepszą możliwą wykładnią praw obywatelskich w kontekście celu i zasady działania Części B programu Medicare.</w:t>
      </w:r>
    </w:p>
    <w:p w14:paraId="00FE236F" w14:textId="1EF3A619" w:rsidR="00367442" w:rsidRPr="00A30C07" w:rsidRDefault="00000000" w:rsidP="00C47C07">
      <w:pPr>
        <w:spacing w:after="3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 w:rsidRPr="00A30C07">
        <w:rPr>
          <w:rFonts w:ascii="Times New Roman" w:eastAsia="Times New Roman" w:hAnsi="Times New Roman" w:cs="Times New Roman"/>
          <w:color w:val="000000"/>
          <w:sz w:val="24"/>
          <w:szCs w:val="24"/>
          <w:u w:color="FFFFFF"/>
          <w:lang w:val="pl-PL"/>
        </w:rPr>
        <w:t xml:space="preserve">Ostateczne zasady można przeczytać lub pobrać tutaj: </w:t>
      </w:r>
      <w:hyperlink r:id="rId15" w:history="1">
        <w:r w:rsidR="00412E68" w:rsidRPr="00412E68">
          <w:rPr>
            <w:rStyle w:val="Hyperlink"/>
            <w:lang w:val="pl-PL"/>
          </w:rPr>
          <w:t>hhs.gov/1557</w:t>
        </w:r>
      </w:hyperlink>
    </w:p>
    <w:sectPr w:rsidR="00367442" w:rsidRPr="00A30C07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442"/>
    <w:rsid w:val="00367442"/>
    <w:rsid w:val="00412E68"/>
    <w:rsid w:val="00616BDA"/>
    <w:rsid w:val="006F4EAF"/>
    <w:rsid w:val="00A30C07"/>
    <w:rsid w:val="00C47C07"/>
    <w:rsid w:val="00C841B5"/>
    <w:rsid w:val="00D8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CBDBD"/>
  <w15:docId w15:val="{C89175F2-AD5C-485F-9B2F-59805BF1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F4EAF"/>
    <w:pPr>
      <w:keepNext/>
      <w:keepLines/>
      <w:spacing w:before="240" w:after="280" w:line="257" w:lineRule="auto"/>
      <w:ind w:left="-14" w:right="-14"/>
      <w:outlineLvl w:val="0"/>
    </w:pPr>
    <w:rPr>
      <w:rFonts w:ascii="Times New Roman" w:eastAsia="Times New Roman" w:hAnsi="Times New Roman" w:cs="Times New Roman"/>
      <w:b/>
      <w:bCs/>
      <w:color w:val="1B1B1B"/>
      <w:sz w:val="24"/>
      <w:szCs w:val="24"/>
      <w:u w:color="FFFFFF"/>
      <w:lang w:val="pl-P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EAF"/>
    <w:pPr>
      <w:keepNext/>
      <w:keepLines/>
      <w:spacing w:before="40" w:after="440" w:line="257" w:lineRule="auto"/>
      <w:ind w:left="-14" w:right="-14"/>
      <w:outlineLvl w:val="1"/>
    </w:pPr>
    <w:rPr>
      <w:rFonts w:ascii="Times New Roman" w:eastAsia="Times New Roman" w:hAnsi="Times New Roman" w:cs="Times New Roman"/>
      <w:b/>
      <w:bCs/>
      <w:color w:val="1B1B1B"/>
      <w:sz w:val="24"/>
      <w:szCs w:val="24"/>
      <w:u w:color="FFFFFF"/>
      <w:lang w:val="pl-P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4EAF"/>
    <w:pPr>
      <w:spacing w:after="200" w:line="257" w:lineRule="auto"/>
      <w:ind w:left="-14" w:right="-14"/>
      <w:outlineLvl w:val="2"/>
    </w:pPr>
    <w:rPr>
      <w:rFonts w:ascii="Times New Roman" w:eastAsia="Times New Roman" w:hAnsi="Times New Roman" w:cs="Times New Roman"/>
      <w:b/>
      <w:bCs/>
      <w:color w:val="1B1B1B"/>
      <w:sz w:val="24"/>
      <w:szCs w:val="24"/>
      <w:u w:color="FFFFFF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6F4EAF"/>
    <w:rPr>
      <w:rFonts w:ascii="Times New Roman" w:eastAsia="Times New Roman" w:hAnsi="Times New Roman" w:cs="Times New Roman"/>
      <w:b/>
      <w:bCs/>
      <w:color w:val="1B1B1B"/>
      <w:sz w:val="24"/>
      <w:szCs w:val="24"/>
      <w:u w:color="FFFFFF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6F4EAF"/>
    <w:rPr>
      <w:rFonts w:ascii="Times New Roman" w:eastAsia="Times New Roman" w:hAnsi="Times New Roman" w:cs="Times New Roman"/>
      <w:b/>
      <w:bCs/>
      <w:color w:val="1B1B1B"/>
      <w:sz w:val="24"/>
      <w:szCs w:val="24"/>
      <w:u w:color="FFFFFF"/>
      <w:lang w:val="pl-PL"/>
    </w:rPr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Revision">
    <w:name w:val="Revision"/>
    <w:uiPriority w:val="99"/>
    <w:semiHidden/>
    <w:qFormat/>
  </w:style>
  <w:style w:type="character" w:customStyle="1" w:styleId="Heading3Char">
    <w:name w:val="Heading 3 Char"/>
    <w:basedOn w:val="DefaultParagraphFont"/>
    <w:link w:val="Heading3"/>
    <w:uiPriority w:val="9"/>
    <w:rsid w:val="006F4EAF"/>
    <w:rPr>
      <w:rFonts w:ascii="Times New Roman" w:eastAsia="Times New Roman" w:hAnsi="Times New Roman" w:cs="Times New Roman"/>
      <w:b/>
      <w:bCs/>
      <w:color w:val="1B1B1B"/>
      <w:sz w:val="24"/>
      <w:szCs w:val="24"/>
      <w:u w:color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rportal.hhs.gov/ocr/smartscreen/main.jsf" TargetMode="External"/><Relationship Id="rId13" Type="http://schemas.openxmlformats.org/officeDocument/2006/relationships/hyperlink" Target="https://uscode.house.gov/view.xhtml?path=/prelim@title20/chapter38&amp;edition=preli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uscode.house.gov/view.xhtml?req=(title:42%20section:18116%20edition:prelim)" TargetMode="External"/><Relationship Id="rId12" Type="http://schemas.openxmlformats.org/officeDocument/2006/relationships/hyperlink" Target="https://uscode.house.gov/view.xhtml?req=granuleid:USC-prelim-title29-section794&amp;num=0&amp;edition=preli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code.house.gov/view.xhtml?path=/prelim@title42/chapter21/subchapter5&amp;edition=preli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cc02.safelinks.protection.outlook.com/?url=https%3A%2F%2Fwww.hhs.gov%2Fcivil-rights%2Ffor-individuals%2Fsection-1557%2Findex.html&amp;data=05%7C02%7CKate.Sweeney%40hhs.gov%7Cde677175a67c4bf03b6a08dc655fc0a9%7Cd58addea50534a808499ba4d944910df%7C0%7C0%7C638496709134090269%7CUnknown%7CTWFpbGZsb3d8eyJWIjoiMC4wLjAwMDAiLCJQIjoiV2luMzIiLCJBTiI6Ik1haWwiLCJXVCI6Mn0%3D%7C0%7C%7C%7C&amp;sdata=vRkCj5cv4QI0H0uIPtwbKZNCDNxaPle9sj%2B5pEETkHk%3D&amp;reserved=0" TargetMode="External"/><Relationship Id="rId10" Type="http://schemas.openxmlformats.org/officeDocument/2006/relationships/hyperlink" Target="https://www.supremecourt.gov/opinions/19pdf/17-1618_hfci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ederalregister.gov/documents/2020/06/19/2020-11758/nondiscrimination-in-health-and-health-education-programs-or-activities-delegation-of-authority" TargetMode="External"/><Relationship Id="rId14" Type="http://schemas.openxmlformats.org/officeDocument/2006/relationships/hyperlink" Target="https://uscode.house.gov/view.xhtml?path=/prelim@title42/chapter76&amp;edition=prel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version xmlns="3c1caa5a-c780-48ca-a6c9-b482f661779f">true</Finalversion>
    <Notes xmlns="3c1caa5a-c780-48ca-a6c9-b482f661779f" xsi:nil="true"/>
    <TaxCatchAll xmlns="8e93af26-c2f7-4713-98b4-0ec2b43fceef" xsi:nil="true"/>
    <Date xmlns="3c1caa5a-c780-48ca-a6c9-b482f661779f" xsi:nil="true"/>
    <lcf76f155ced4ddcb4097134ff3c332f xmlns="3c1caa5a-c780-48ca-a6c9-b482f661779f">
      <Terms xmlns="http://schemas.microsoft.com/office/infopath/2007/PartnerControls"/>
    </lcf76f155ced4ddcb4097134ff3c332f>
    <SharedWithUsers xmlns="8e93af26-c2f7-4713-98b4-0ec2b43fceef">
      <UserInfo>
        <DisplayName>Babecki, Marie-Genevieve (HHS/OCR) (CTR)</DisplayName>
        <AccountId>142</AccountId>
        <AccountType/>
      </UserInfo>
      <UserInfo>
        <DisplayName>Ma, Jenny (HHS/OCR)</DisplayName>
        <AccountId>123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5511778AF62498723AFFD438A8C95" ma:contentTypeVersion="19" ma:contentTypeDescription="Create a new document." ma:contentTypeScope="" ma:versionID="65ec5334cccb9df55b93ff12f4153d26">
  <xsd:schema xmlns:xsd="http://www.w3.org/2001/XMLSchema" xmlns:xs="http://www.w3.org/2001/XMLSchema" xmlns:p="http://schemas.microsoft.com/office/2006/metadata/properties" xmlns:ns2="3c1caa5a-c780-48ca-a6c9-b482f661779f" xmlns:ns3="8e93af26-c2f7-4713-98b4-0ec2b43fceef" targetNamespace="http://schemas.microsoft.com/office/2006/metadata/properties" ma:root="true" ma:fieldsID="593658056bfbe1c86c7aeba8e3d73c40" ns2:_="" ns3:_="">
    <xsd:import namespace="3c1caa5a-c780-48ca-a6c9-b482f661779f"/>
    <xsd:import namespace="8e93af26-c2f7-4713-98b4-0ec2b43fc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" minOccurs="0"/>
                <xsd:element ref="ns2:Notes" minOccurs="0"/>
                <xsd:element ref="ns2:Finalversion" minOccurs="0"/>
                <xsd:element ref="ns2:MediaServiceSearchPropertie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caa5a-c780-48ca-a6c9-b482f6617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5f4345e-8d67-48af-bef8-91c58d16f7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Notes" ma:index="21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Finalversion" ma:index="22" nillable="true" ma:displayName="Final version" ma:default="1" ma:format="Dropdown" ma:internalName="Finalversion">
      <xsd:simpleType>
        <xsd:restriction base="dms:Boolea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3af26-c2f7-4713-98b4-0ec2b43fc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0280586-07de-4c8e-830b-710be8a79782}" ma:internalName="TaxCatchAll" ma:showField="CatchAllData" ma:web="8e93af26-c2f7-4713-98b4-0ec2b43fc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EA4EF1-FE7A-4892-A5AF-681109693A05}">
  <ds:schemaRefs>
    <ds:schemaRef ds:uri="http://schemas.microsoft.com/office/2006/metadata/properties"/>
    <ds:schemaRef ds:uri="http://schemas.microsoft.com/office/infopath/2007/PartnerControls"/>
    <ds:schemaRef ds:uri="3c1caa5a-c780-48ca-a6c9-b482f661779f"/>
    <ds:schemaRef ds:uri="8e93af26-c2f7-4713-98b4-0ec2b43fceef"/>
  </ds:schemaRefs>
</ds:datastoreItem>
</file>

<file path=customXml/itemProps2.xml><?xml version="1.0" encoding="utf-8"?>
<ds:datastoreItem xmlns:ds="http://schemas.openxmlformats.org/officeDocument/2006/customXml" ds:itemID="{97BC9F68-9465-49EA-950A-1B56EAE42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caa5a-c780-48ca-a6c9-b482f661779f"/>
    <ds:schemaRef ds:uri="8e93af26-c2f7-4713-98b4-0ec2b43fc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084173-D9F3-424A-B833-D92F96F01F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 Section 1557 Fact Sheet_Polish</vt:lpstr>
    </vt:vector>
  </TitlesOfParts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 Section 1557 Fact Sheet_Polish</dc:title>
  <dc:subject/>
  <dc:creator>HHS/OCR</dc:creator>
  <dc:description/>
  <cp:lastModifiedBy>Sweeney, Kate (OS/OCIO/OES)</cp:lastModifiedBy>
  <cp:revision>3</cp:revision>
  <dcterms:created xsi:type="dcterms:W3CDTF">2024-04-25T13:59:00Z</dcterms:created>
  <dcterms:modified xsi:type="dcterms:W3CDTF">2024-04-25T21:02:00Z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0x0101009A55511778AF62498723AFFD438A8C95</vt:lpwstr>
  </property>
  <property fmtid="{D5CDD505-2E9C-101B-9397-08002B2CF9AE}" pid="3" name="MediaServiceImageTags">
    <vt:lpwstr/>
  </property>
</Properties>
</file>