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3B25" w14:textId="337A1158" w:rsidR="001669C7" w:rsidRPr="004120FB" w:rsidRDefault="00000000" w:rsidP="004120FB">
      <w:pPr>
        <w:pStyle w:val="Heading1"/>
      </w:pPr>
      <w:r w:rsidRPr="004120FB">
        <w:t>Fortalecimento das proteções de não discriminação e promoção dos direitos civis na assistência à saúde por meio da Seção 1557 da Lei de Atendimento Médico Financeiramente Acessível: Ficha informativa</w:t>
      </w:r>
    </w:p>
    <w:p w14:paraId="0188E535" w14:textId="58EA8E18" w:rsidR="001669C7" w:rsidRPr="00974540" w:rsidRDefault="00000000" w:rsidP="003C119C">
      <w:pPr>
        <w:spacing w:after="5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9745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O texto a seguir fornece informações resumidas, não qualquer interpretação independente da Seção 1557; os leitores são direcionados para a própria regra final para uma citação completa de seu conteúdo.</w:t>
      </w:r>
    </w:p>
    <w:p w14:paraId="22BE1669" w14:textId="3E9013C1" w:rsidR="001669C7" w:rsidRPr="00974540" w:rsidRDefault="00000000" w:rsidP="003C119C">
      <w:pPr>
        <w:spacing w:after="64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O Departamento de Saúde e Serviços Humanos (Department of Health and Human Services, HHS) emitiu uma regra final para a redução de disparidades e a promoção da equidade na assistência médica. A </w:t>
      </w:r>
      <w:hyperlink r:id="rId7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Seção 1557 da Lei de Atendimento Médico Financeiramente Acessível (Affordable Care Act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, ACA) proíbe a discriminação com base em raça, cor, nacionalidade, sexo, idade ou deficiência em qualquer programa ou atividade de saúde que receba assistência financeira federal (inclusive bolsas de seguros de saúde estaduais) e programas e atividades de saúde HHS, e é uma das ferramentas mais poderosas do governo para assegurar o acesso não discriminatório a atendimento médico. Essa regra esclarece a Seção 1557 e ajudará a garantir o acesso não discriminatório a atendimento médico para todos, inclusive mulheres, pessoas com deficiências, pessoas LGBTQI+, pessoas com proficiência limitada em inglês (Limited English Proficiency, LEP), pessoas de cor e pessoas independentemente da idade. Se você acha que você ou outra parte sofreu discriminação com base em raça, cor, nacionalidade, sexo, idade ou deficiência, visite o </w:t>
      </w:r>
      <w:hyperlink r:id="rId8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portal de reclamações do Gabinete de Direitos Civis (Office for Civil Rights, OCR)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 para apresentar uma reclamação on-line.</w:t>
      </w:r>
    </w:p>
    <w:p w14:paraId="371C5FA8" w14:textId="03063191" w:rsidR="001669C7" w:rsidRPr="004120FB" w:rsidRDefault="00000000" w:rsidP="004120FB">
      <w:pPr>
        <w:pStyle w:val="Heading2"/>
      </w:pPr>
      <w:r w:rsidRPr="004120FB">
        <w:t>Resumo da regra final</w:t>
      </w:r>
    </w:p>
    <w:p w14:paraId="568E73B1" w14:textId="77777777" w:rsidR="001669C7" w:rsidRPr="004120FB" w:rsidRDefault="00000000" w:rsidP="004120FB">
      <w:pPr>
        <w:pStyle w:val="Heading3"/>
      </w:pPr>
      <w:r w:rsidRPr="004120FB">
        <w:t>Traz os emissores de seguro de saúde de volta à cobertura nos termos da Seção 1557 (45 CFR 92.2, 92.4 e 92.207).</w:t>
      </w:r>
    </w:p>
    <w:p w14:paraId="31F927F7" w14:textId="77777777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final restabelece e fortalece a aplicação da Seção 1557 aos emissores de seguros de saúde que recebem assistência financeira federal. A regra reconhece o papel significativo que os seguros de saúde desempenham no atendimento à saúde e fornece padrões claros de não discriminação para o setor.</w:t>
      </w:r>
    </w:p>
    <w:p w14:paraId="3E7F0054" w14:textId="77777777" w:rsidR="001669C7" w:rsidRPr="00974540" w:rsidRDefault="00000000" w:rsidP="004120FB">
      <w:pPr>
        <w:pStyle w:val="Heading3"/>
      </w:pPr>
      <w:r w:rsidRPr="00974540">
        <w:t>Restabelece a aplicação da Seção 1557 a todos os programas e atividades de saúde administrados pelo HHS (45 CFR 92.2(a)(2)).</w:t>
      </w:r>
    </w:p>
    <w:p w14:paraId="293C68F0" w14:textId="77777777" w:rsidR="001669C7" w:rsidRPr="00974540" w:rsidRDefault="00000000" w:rsidP="00974540">
      <w:pPr>
        <w:spacing w:after="200" w:line="257" w:lineRule="auto"/>
        <w:ind w:left="-14" w:right="-14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aplica padrões de não discriminação a todos os programas e atividades de saúde do HHS. A regra de 2020 (</w:t>
      </w:r>
      <w:hyperlink r:id="rId9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85 Fed. Reg. 37160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 (19 de junho de 2020)) limitou o escopo dos requisitos de não discriminação da Seção 1557. O Departamento acredita que a interpretação da Seção 1557 no sentido de abranger todos os programas e atividades de saúde administrados pelo HHS é a melhor leitura da norma e a que protege um maior número de pessoas contra discriminação em </w:t>
      </w: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lastRenderedPageBreak/>
        <w:t>toda a ampla gama de programas e atividades de saúde do Departamento, inclusive, entre outros, os administrados pelo Indian Health Service, Centers for Medicare &amp; Medicaid Services e pelo National Institutes of Health.</w:t>
      </w:r>
    </w:p>
    <w:p w14:paraId="0D929189" w14:textId="77777777" w:rsidR="001669C7" w:rsidRPr="00974540" w:rsidRDefault="00000000" w:rsidP="004120FB">
      <w:pPr>
        <w:pStyle w:val="Heading3"/>
      </w:pPr>
      <w:r w:rsidRPr="00974540">
        <w:t>Protege os pacientes LGBTQI+ contra discriminação e esclarece a proibição de 1557 sobre discriminação sexual (45 CFR 92.101, 92.206).</w:t>
      </w:r>
    </w:p>
    <w:p w14:paraId="4AE60026" w14:textId="77777777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Consistente com a decisão da Suprema Corte dos EUA em </w:t>
      </w:r>
      <w:hyperlink r:id="rId10">
        <w:r w:rsidRPr="00974540">
          <w:rPr>
            <w:rFonts w:ascii="Times New Roman" w:eastAsia="Times New Roman" w:hAnsi="Times New Roman" w:cs="Times New Roman"/>
            <w:i/>
            <w:iCs/>
            <w:color w:val="0563C1"/>
            <w:sz w:val="24"/>
            <w:szCs w:val="24"/>
            <w:u w:val="single"/>
            <w:lang w:val="pt-BR"/>
          </w:rPr>
          <w:t>Bostock vs. Clayton County</w:t>
        </w:r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 xml:space="preserve"> – PDF</w:t>
        </w:r>
      </w:hyperlink>
      <w:r w:rsidRPr="00974540">
        <w:rPr>
          <w:rFonts w:ascii="Times New Roman" w:eastAsia="Times New Roman" w:hAnsi="Times New Roman" w:cs="Times New Roman"/>
          <w:color w:val="0563C1"/>
          <w:sz w:val="24"/>
          <w:szCs w:val="24"/>
          <w:lang w:val="pt-BR"/>
        </w:rPr>
        <w:t xml:space="preserve"> </w:t>
      </w: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, a regra final afirma que as proteções contra discriminação sexual incluem proteções contra discriminação com base em orientação sexual e identidade de gênero.</w:t>
      </w:r>
    </w:p>
    <w:p w14:paraId="74A0814D" w14:textId="77777777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final também esclarece que a discriminação sexual inclui discriminação com base em estereótipos sexuais; características sexuais, inclusive traços intersexuais; e gravidez ou condições relacionadas.</w:t>
      </w:r>
    </w:p>
    <w:p w14:paraId="4C8D5C76" w14:textId="49B6604F" w:rsidR="001669C7" w:rsidRPr="00974540" w:rsidRDefault="00000000" w:rsidP="004120FB">
      <w:pPr>
        <w:pStyle w:val="Heading3"/>
      </w:pPr>
      <w:r w:rsidRPr="00974540">
        <w:t>Determina que todos os abrangidos pela regra, dentre os quais provedores, emissores de seguro e programas administrados pelo HHS, informem as pessoas sobre a disponibilidade de assistência e serviços linguísticos (45 CFR 92.11).</w:t>
      </w:r>
    </w:p>
    <w:p w14:paraId="6620ED83" w14:textId="6D4702EC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final determina que os destinatários de assistência financeira federal, atividades e programas de saúde administrados pelo HHS e intercâmbios facilitados pelos governos estaduais e federal informem às pessoas que os serviços de assistência linguística e recursos auxiliares estão disponíveis, se necessário. O aviso deve ser fornecido em inglês e pelo menos nos 15 idiomas mais comuns falados por pessoas com proficiência limitada em inglês (LEP) no estado(s) atendido(s). Para garantir a eficácia da comunicação, e</w:t>
      </w:r>
      <w:r w:rsidRPr="0097454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sses avisos devem ser comunicados a pessoas com deficiência com a mesma eficácia que são comunicados a pessoas sem deficiência.</w:t>
      </w: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As entidades abrangidas devem fornecer esses avisos em locais proeminentes, tanto fisicamente quanto em seus sites, disponibilizá-los mediante solicitação e incluí-los com uma lista específica de comunicações.</w:t>
      </w:r>
    </w:p>
    <w:p w14:paraId="1844A1D8" w14:textId="5847FB17" w:rsidR="001669C7" w:rsidRPr="00974540" w:rsidRDefault="00000000" w:rsidP="004120FB">
      <w:pPr>
        <w:pStyle w:val="Heading3"/>
      </w:pPr>
      <w:r w:rsidRPr="00974540">
        <w:t>Determina que todos os abrangidos pela regra tomem medidas para identificar e mitigar a discriminação [ao usarem] ferramentas de apoio à decisão de cuidados ao paciente (45 CFR 92.210).</w:t>
      </w:r>
    </w:p>
    <w:p w14:paraId="049057AC" w14:textId="43E16901" w:rsidR="001669C7" w:rsidRPr="00974540" w:rsidRDefault="00000000" w:rsidP="00974540">
      <w:pPr>
        <w:spacing w:after="200" w:line="257" w:lineRule="auto"/>
        <w:ind w:left="-14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regra final dispõe que os destinatários de assistência financeira federal, atividades e programas de saúde administrados pelo HHS e intercâmbios facilitados pelos</w:t>
      </w: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governos estaduais e federal</w:t>
      </w:r>
      <w:r w:rsidRPr="0097454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não podem discriminar nenhum indivíduo com base em raça, cor, nacionalidade, sexo, idade ou deficiência por meio do uso de ferramentas de apoio à decisão de atendimento ao paciente, que incluem ferramentas, mecanismos, métodos e tecnologia automatizados e não automatizados para oferecer atendimento ao paciente. Essa disposição não se destina a impedir o uso dessas ferramentas: Equilibra a função da tecnologia na redução das disparidades de saúde e no aumento do acesso ao atendimento com a necessidade de uso responsável dessas ferramentas para evitar a discriminação no atendimento ao paciente. A regra final determina que todos os abrangidos identifiquem ferramentas de apoio à decisão de atendimento ao paciente que medem raça, cor, nacionalidade, sexo, idade ou deficiência, e façam esforços razoáveis para mitigar o risco de discriminação que pode resultar do uso dessas ferramentas.</w:t>
      </w:r>
    </w:p>
    <w:p w14:paraId="3080260C" w14:textId="77777777" w:rsidR="001669C7" w:rsidRPr="00974540" w:rsidRDefault="00000000" w:rsidP="004120FB">
      <w:pPr>
        <w:pStyle w:val="Heading3"/>
      </w:pPr>
      <w:r w:rsidRPr="00974540">
        <w:lastRenderedPageBreak/>
        <w:t>Determina que todos os abrangidos pela regra implementem políticas da Seção 1557 e treinamento de equipe (45 CFR 92.8-92.9).</w:t>
      </w:r>
    </w:p>
    <w:p w14:paraId="3F40558E" w14:textId="77777777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final determina que os destinatários de assistência financeira federal, programas e atividades de saúde administrados pelo HHS e intercâmbios facilitados estaduais e federais implementem políticas e procedimentos para assegurar a conformidade com a regra. Especificamente, as entidades abrangidas devem contar com políticas para fornecer serviços de assistência linguística para pessoas com LEP e assegurar uma comunicação eficaz e as modificações necessárias para pessoas com deficiência. As entidades abrangidas também devem treinar suas equipes com relação a essas políticas e esses procedimentos. Esses requisitos ajudarão a melhorar a conformidade.</w:t>
      </w:r>
    </w:p>
    <w:p w14:paraId="221EEF18" w14:textId="77777777" w:rsidR="001669C7" w:rsidRPr="00974540" w:rsidRDefault="00000000" w:rsidP="004120FB">
      <w:pPr>
        <w:pStyle w:val="Heading3"/>
      </w:pPr>
      <w:r w:rsidRPr="00974540">
        <w:t>Esclarece que os requisitos de não discriminação se aplicam a programas e atividades de saúde fornecidos por meio de serviços de telessaúde (45 CFR 92.211).</w:t>
      </w:r>
    </w:p>
    <w:p w14:paraId="17C742A3" w14:textId="4F4C5483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final aborda especificamente a não discriminação em serviços de telessaúde. Essa disposição esclarece que os destinatários de assistência financeira federal, programas e atividades de saúde administrados pelo HHS e mercados facilitados estaduais e federais não devem discriminar a oferta de programas e atividades de saúde, inclusive por meio de serviços de telessaúde. Isso significa assegurar que esses serviços sejam acessíveis a pessoas com deficiências e fornecer acesso significativo ao programa para pessoas com LEP.</w:t>
      </w:r>
    </w:p>
    <w:p w14:paraId="525435AA" w14:textId="77777777" w:rsidR="001669C7" w:rsidRPr="00974540" w:rsidRDefault="00000000" w:rsidP="004120FB">
      <w:pPr>
        <w:pStyle w:val="Heading3"/>
      </w:pPr>
      <w:r w:rsidRPr="00974540">
        <w:t>Respeita garantias federais relativas à liberdade religiosa e consciência (45 CFR 92.3 e 92.302).</w:t>
      </w:r>
    </w:p>
    <w:p w14:paraId="039B9B6B" w14:textId="77777777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>A regra final declara que nenhuma aplicação da regra será necessária se ela violar as proteções federais de liberdade religiosa e de consciência. De acordo com essa regra, o destinatário de assistência financeira federal pode simplesmente contar com essas proteções ou buscar a garantia delas junto ao HHS OCR.</w:t>
      </w:r>
    </w:p>
    <w:p w14:paraId="03A6177D" w14:textId="3E530978" w:rsidR="001669C7" w:rsidRPr="00974540" w:rsidRDefault="00000000" w:rsidP="004120FB">
      <w:pPr>
        <w:pStyle w:val="Heading3"/>
      </w:pPr>
      <w:r w:rsidRPr="00974540">
        <w:t>Aviso sobre Medicare Parte B como assistência financeira federal.</w:t>
      </w:r>
    </w:p>
    <w:p w14:paraId="15DFD20E" w14:textId="77777777" w:rsidR="001669C7" w:rsidRPr="00974540" w:rsidRDefault="00000000">
      <w:pPr>
        <w:spacing w:after="200" w:line="257" w:lineRule="auto"/>
        <w:ind w:left="-20" w:right="-20"/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Essa regulamentação informa sobre a interpretação do Departamento de que o Medicare Parte B é uma assistência financeira federal para fins de cobertura de acordo com as leis federais de direitos civis que o Departamento aplica. Isso inclui </w:t>
      </w:r>
      <w:hyperlink r:id="rId11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o Título VI da Lei de Direitos Civis de 1964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, </w:t>
      </w:r>
      <w:hyperlink r:id="rId12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a Seção 504 da Lei de Reabilitação de 1973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, </w:t>
      </w:r>
      <w:hyperlink r:id="rId13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o Título IX das Emendas Educacionais de 1972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, a </w:t>
      </w:r>
      <w:hyperlink r:id="rId14">
        <w:r w:rsidRPr="0097454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t-BR"/>
          </w:rPr>
          <w:t>Lei de Discriminação por Idade de 1975</w:t>
        </w:r>
      </w:hyperlink>
      <w:r w:rsidRPr="00974540">
        <w:rPr>
          <w:rFonts w:ascii="Times New Roman" w:eastAsia="Times New Roman" w:hAnsi="Times New Roman" w:cs="Times New Roman"/>
          <w:color w:val="1B1B1B"/>
          <w:sz w:val="24"/>
          <w:szCs w:val="24"/>
          <w:lang w:val="pt-BR"/>
        </w:rPr>
        <w:t xml:space="preserve"> e a Seção 1557 da ACA. Os fundos de Medicare Parte B atendem à definição de assistência financeira federal nos termos da lei, conforme definido nos regulamentos das normas acima. O Departamento acredita que os fundamentos anteriores da exclusão da Parte B do Medicare apresentados estão desatualizados devido a alterações na lei e no programa Medicare, e que a alteração da política é a melhor leitura das leis de direitos civis, considerando o propósito e a operação do programa Medicare Parte B.</w:t>
      </w:r>
    </w:p>
    <w:p w14:paraId="0ADCAB24" w14:textId="7B6084F1" w:rsidR="001669C7" w:rsidRPr="00974540" w:rsidRDefault="00000000" w:rsidP="00974540">
      <w:pPr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97454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 Regra Final pode ser visualizada ou baixada em: </w:t>
      </w:r>
      <w:hyperlink r:id="rId15" w:history="1">
        <w:r w:rsidR="00AF4CF3" w:rsidRPr="00AF4CF3">
          <w:rPr>
            <w:rStyle w:val="Hyperlink"/>
            <w:lang w:val="pt-BR"/>
          </w:rPr>
          <w:t>hhs.gov/1557</w:t>
        </w:r>
      </w:hyperlink>
    </w:p>
    <w:sectPr w:rsidR="001669C7" w:rsidRPr="00974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C7"/>
    <w:rsid w:val="00111C1B"/>
    <w:rsid w:val="001669C7"/>
    <w:rsid w:val="003C119C"/>
    <w:rsid w:val="004120FB"/>
    <w:rsid w:val="00974540"/>
    <w:rsid w:val="00AF4CF3"/>
    <w:rsid w:val="00C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0CF6"/>
  <w15:chartTrackingRefBased/>
  <w15:docId w15:val="{72304579-9FC1-4B04-940F-A326F2F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0FB"/>
    <w:pPr>
      <w:keepNext/>
      <w:keepLines/>
      <w:spacing w:before="240" w:after="280" w:line="257" w:lineRule="auto"/>
      <w:ind w:left="-14" w:right="-14"/>
      <w:outlineLvl w:val="0"/>
    </w:pPr>
    <w:rPr>
      <w:rFonts w:ascii="Times New Roman" w:eastAsia="Times New Roman" w:hAnsi="Times New Roman" w:cs="Times New Roman"/>
      <w:b/>
      <w:bCs/>
      <w:color w:val="1B1B1B"/>
      <w:sz w:val="24"/>
      <w:szCs w:val="24"/>
      <w:lang w:val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0FB"/>
    <w:pPr>
      <w:keepNext/>
      <w:keepLines/>
      <w:spacing w:before="40" w:after="440" w:line="257" w:lineRule="auto"/>
      <w:ind w:left="-14" w:right="-14"/>
      <w:outlineLvl w:val="1"/>
    </w:pPr>
    <w:rPr>
      <w:rFonts w:ascii="Times New Roman" w:eastAsia="Times New Roman" w:hAnsi="Times New Roman" w:cs="Times New Roman"/>
      <w:b/>
      <w:bCs/>
      <w:color w:val="1B1B1B"/>
      <w:sz w:val="24"/>
      <w:szCs w:val="24"/>
      <w:lang w:val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0FB"/>
    <w:pPr>
      <w:spacing w:after="200" w:line="257" w:lineRule="auto"/>
      <w:ind w:left="-20" w:right="-20"/>
      <w:outlineLvl w:val="2"/>
    </w:pPr>
    <w:rPr>
      <w:rFonts w:ascii="Times New Roman" w:eastAsia="Times New Roman" w:hAnsi="Times New Roman" w:cs="Times New Roman"/>
      <w:b/>
      <w:bCs/>
      <w:color w:val="1B1B1B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0FB"/>
    <w:rPr>
      <w:rFonts w:ascii="Times New Roman" w:eastAsia="Times New Roman" w:hAnsi="Times New Roman" w:cs="Times New Roman"/>
      <w:b/>
      <w:bCs/>
      <w:color w:val="1B1B1B"/>
      <w:sz w:val="24"/>
      <w:szCs w:val="24"/>
      <w:lang w:val="pt-B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20FB"/>
    <w:rPr>
      <w:rFonts w:ascii="Times New Roman" w:eastAsia="Times New Roman" w:hAnsi="Times New Roman" w:cs="Times New Roman"/>
      <w:b/>
      <w:bCs/>
      <w:color w:val="1B1B1B"/>
      <w:sz w:val="24"/>
      <w:szCs w:val="24"/>
      <w:lang w:val="pt-BR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120FB"/>
    <w:rPr>
      <w:rFonts w:ascii="Times New Roman" w:eastAsia="Times New Roman" w:hAnsi="Times New Roman" w:cs="Times New Roman"/>
      <w:b/>
      <w:bCs/>
      <w:color w:val="1B1B1B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smartscreen/main.jsf" TargetMode="External"/><Relationship Id="rId13" Type="http://schemas.openxmlformats.org/officeDocument/2006/relationships/hyperlink" Target="https://uscode.house.gov/view.xhtml?path=/prelim@title20/chapter38&amp;edition=preli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scode.house.gov/view.xhtml?req=(title:42%20section:18116%20edition:prelim)" TargetMode="External"/><Relationship Id="rId12" Type="http://schemas.openxmlformats.org/officeDocument/2006/relationships/hyperlink" Target="https://uscode.house.gov/view.xhtml?req=granuleid:USC-prelim-title29-section794&amp;num=0&amp;edition=preli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code.house.gov/view.xhtml?path=/prelim@title42/chapter21/subchapter5&amp;edition=prel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cc02.safelinks.protection.outlook.com/?url=https%3A%2F%2Fwww.hhs.gov%2Fcivil-rights%2Ffor-individuals%2Fsection-1557%2Findex.html&amp;data=05%7C02%7CKate.Sweeney%40hhs.gov%7Cde677175a67c4bf03b6a08dc655fc0a9%7Cd58addea50534a808499ba4d944910df%7C0%7C0%7C638496709134090269%7CUnknown%7CTWFpbGZsb3d8eyJWIjoiMC4wLjAwMDAiLCJQIjoiV2luMzIiLCJBTiI6Ik1haWwiLCJXVCI6Mn0%3D%7C0%7C%7C%7C&amp;sdata=vRkCj5cv4QI0H0uIPtwbKZNCDNxaPle9sj%2B5pEETkHk%3D&amp;reserved=0" TargetMode="External"/><Relationship Id="rId10" Type="http://schemas.openxmlformats.org/officeDocument/2006/relationships/hyperlink" Target="https://www.supremecourt.gov/opinions/19pdf/17-1618_hfci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deralregister.gov/documents/2020/06/19/2020-11758/nondiscrimination-in-health-and-health-education-programs-or-activities-delegation-of-authority" TargetMode="External"/><Relationship Id="rId14" Type="http://schemas.openxmlformats.org/officeDocument/2006/relationships/hyperlink" Target="https://uscode.house.gov/view.xhtml?path=/prelim@title42/chapter76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version xmlns="3c1caa5a-c780-48ca-a6c9-b482f661779f">true</Finalversion>
    <Notes xmlns="3c1caa5a-c780-48ca-a6c9-b482f661779f" xsi:nil="true"/>
    <TaxCatchAll xmlns="8e93af26-c2f7-4713-98b4-0ec2b43fceef" xsi:nil="true"/>
    <Date xmlns="3c1caa5a-c780-48ca-a6c9-b482f661779f" xsi:nil="true"/>
    <lcf76f155ced4ddcb4097134ff3c332f xmlns="3c1caa5a-c780-48ca-a6c9-b482f661779f">
      <Terms xmlns="http://schemas.microsoft.com/office/infopath/2007/PartnerControls"/>
    </lcf76f155ced4ddcb4097134ff3c332f>
    <SharedWithUsers xmlns="8e93af26-c2f7-4713-98b4-0ec2b43fceef">
      <UserInfo>
        <DisplayName>Babecki, Marie-Genevieve (HHS/OCR) (CTR)</DisplayName>
        <AccountId>142</AccountId>
        <AccountType/>
      </UserInfo>
      <UserInfo>
        <DisplayName>Ma, Jenny (HHS/OCR)</DisplayName>
        <AccountId>123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9" ma:contentTypeDescription="Create a new document." ma:contentTypeScope="" ma:versionID="65ec5334cccb9df55b93ff12f4153d26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593658056bfbe1c86c7aeba8e3d73c40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Notes" minOccurs="0"/>
                <xsd:element ref="ns2:Finalversio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Finalversion" ma:index="22" nillable="true" ma:displayName="Final version" ma:default="1" ma:format="Dropdown" ma:internalName="Finalversion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280586-07de-4c8e-830b-710be8a79782}" ma:internalName="TaxCatchAll" ma:showField="CatchAllData" ma:web="8e93af26-c2f7-4713-98b4-0ec2b43fc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A4EF1-FE7A-4892-A5AF-681109693A05}">
  <ds:schemaRefs>
    <ds:schemaRef ds:uri="http://schemas.microsoft.com/office/2006/metadata/properties"/>
    <ds:schemaRef ds:uri="http://schemas.microsoft.com/office/infopath/2007/PartnerControls"/>
    <ds:schemaRef ds:uri="3c1caa5a-c780-48ca-a6c9-b482f661779f"/>
    <ds:schemaRef ds:uri="8e93af26-c2f7-4713-98b4-0ec2b43fceef"/>
  </ds:schemaRefs>
</ds:datastoreItem>
</file>

<file path=customXml/itemProps2.xml><?xml version="1.0" encoding="utf-8"?>
<ds:datastoreItem xmlns:ds="http://schemas.openxmlformats.org/officeDocument/2006/customXml" ds:itemID="{97BC9F68-9465-49EA-950A-1B56EAE4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aa5a-c780-48ca-a6c9-b482f661779f"/>
    <ds:schemaRef ds:uri="8e93af26-c2f7-4713-98b4-0ec2b43fc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84173-D9F3-424A-B833-D92F96F01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 Section 1557 Fact Sheet_Portuguese_Brazil</vt:lpstr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 Section 1557 Fact Sheet_Portuguese_Brazil</dc:title>
  <dc:creator>HHS/OCR</dc:creator>
  <cp:lastModifiedBy>Sweeney, Kate (OS/OCIO/OES)</cp:lastModifiedBy>
  <cp:revision>3</cp:revision>
  <dcterms:created xsi:type="dcterms:W3CDTF">2024-04-25T14:00:00Z</dcterms:created>
  <dcterms:modified xsi:type="dcterms:W3CDTF">2024-04-25T21:03:00Z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MediaServiceImageTags">
    <vt:lpwstr/>
  </property>
</Properties>
</file>